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D774F">
      <w:pPr>
        <w:spacing w:before="222" w:line="205" w:lineRule="auto"/>
        <w:ind w:left="46"/>
        <w:rPr>
          <w:rFonts w:ascii="黑体" w:hAnsi="黑体" w:eastAsia="黑体" w:cs="黑体"/>
          <w:spacing w:val="-5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pacing w:val="-5"/>
          <w:sz w:val="32"/>
          <w:szCs w:val="32"/>
        </w:rPr>
        <w:t>附件</w:t>
      </w:r>
      <w:r>
        <w:rPr>
          <w:rFonts w:ascii="黑体" w:hAnsi="黑体" w:eastAsia="黑体" w:cs="黑体"/>
          <w:spacing w:val="-5"/>
          <w:sz w:val="32"/>
          <w:szCs w:val="32"/>
        </w:rPr>
        <w:t>5</w:t>
      </w:r>
    </w:p>
    <w:p w14:paraId="04543F32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p w14:paraId="5300D082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  <w:r>
        <w:rPr>
          <w:rFonts w:hint="eastAsia" w:ascii="方正小标宋_GBK" w:hAnsi="仿宋" w:eastAsia="方正小标宋_GBK" w:cs="仿宋"/>
          <w:sz w:val="44"/>
          <w:szCs w:val="44"/>
        </w:rPr>
        <w:t>服务响应承诺表</w:t>
      </w:r>
    </w:p>
    <w:bookmarkEnd w:id="0"/>
    <w:p w14:paraId="0E90777C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3360"/>
        <w:gridCol w:w="708"/>
        <w:gridCol w:w="3799"/>
      </w:tblGrid>
      <w:tr w14:paraId="7005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4B499DC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项目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  <w:vAlign w:val="center"/>
          </w:tcPr>
          <w:p w14:paraId="06D3CFC9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询价函要求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  <w:vAlign w:val="center"/>
          </w:tcPr>
          <w:p w14:paraId="19F3D3C4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是否</w:t>
            </w:r>
          </w:p>
          <w:p w14:paraId="5DD4A041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响应</w:t>
            </w:r>
          </w:p>
        </w:tc>
        <w:tc>
          <w:tcPr>
            <w:tcW w:w="3799" w:type="dxa"/>
            <w:tcMar>
              <w:top w:w="100" w:type="dxa"/>
              <w:right w:w="100" w:type="dxa"/>
            </w:tcMar>
            <w:vAlign w:val="center"/>
          </w:tcPr>
          <w:p w14:paraId="5B87C80F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供应商的承诺或者说明</w:t>
            </w:r>
          </w:p>
        </w:tc>
      </w:tr>
      <w:tr w14:paraId="346A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2CD6B0B6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售后服务保障要求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DDAAAC0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成交供应商应提供及时周到的售后服务，应保证每季度至少一次上门回访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369BC4E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4E87CC82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7F811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64D6DC29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备品备件以及耗材等要求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ACD60DD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质量保证期内，如果证实货物是有缺陷的，包括潜在的缺陷或者使用不符合要求的材料等，成交供应商应立即免费更换有缺陷的货物或者部件，保证达到合同规定的技术以及性能要求。如果成交供应商在收到通知后3天内没有弥补缺陷，采购人可自行采取必要的补救措施，但风险和费用由成交供应商承担，采购人同时保留通过法律途径进行索赔的权利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  <w:p w14:paraId="69D5EF72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供应商须保证货物是全新、未使用过的，并完全符合强制性的国家技术质量规范和合同规定的质量、规格、性能和技术规范等的要求。</w:t>
            </w:r>
          </w:p>
          <w:p w14:paraId="3FE06917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★供应商须承诺，若提供的货物在质保期内，直接或间接导致招标人其他资产损坏的，供应商须在24小时内对损坏资产进行赔付或维修，保证达到损坏前使用状态。如果成交供应商在收到通知后3天内没有弥补缺陷，采购人可自行采取必要的补救措施，但风险和费用由成交供应商承担，</w:t>
            </w:r>
            <w:r>
              <w:rPr>
                <w:rFonts w:hint="eastAsia" w:ascii="仿宋_GB2312" w:hAnsi="仿宋" w:eastAsia="仿宋_GB2312"/>
                <w:sz w:val="22"/>
                <w:szCs w:val="21"/>
                <w:lang w:val="en-US" w:eastAsia="zh-CN"/>
              </w:rPr>
              <w:t>采购人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同时保留通过法律途径进行索赔的权利。提供相关内容承诺书。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4BB5F7DF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7D594E81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3DB5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1D75ED7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质保期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68529A9B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1年（自验收合格之日起1年）,国家主管部门或者行业标准对货物本身有更高要求的，从其规定并在合同中约定，采购人亦可提报更长的质保期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623554B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2D32BC8A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64FE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A59103A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交货时间以及地点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62419487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交货时间：本项目服务期限自合同签署日起，至合同签署后1个自然年终止。合同履行期间，成交供应商按采购人要求供货，不定时、不定量，接到采购人的通知后，工作</w:t>
            </w:r>
            <w:r>
              <w:rPr>
                <w:rFonts w:hint="eastAsia" w:ascii="仿宋_GB2312" w:hAnsi="仿宋" w:eastAsia="仿宋_GB2312"/>
                <w:sz w:val="22"/>
                <w:szCs w:val="21"/>
                <w:lang w:val="en-US" w:eastAsia="zh-CN"/>
              </w:rPr>
              <w:t>时间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4小时之内送达，双休日24小时之内。如供应商出现3次以上缺货或供货不及时，采购人有权终止合同。</w:t>
            </w:r>
          </w:p>
          <w:p w14:paraId="6EEF355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交货地点以采购人指定地点为准。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7A0ACCC8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120F962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</w:p>
        </w:tc>
      </w:tr>
      <w:tr w14:paraId="54CB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450C3FE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付款条件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3263F666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根据成交供应商实际供货数量, 每季度据实结算一次货款</w:t>
            </w:r>
            <w:r>
              <w:rPr>
                <w:rFonts w:hint="eastAsia" w:ascii="仿宋_GB2312" w:hAnsi="仿宋" w:eastAsia="仿宋_GB2312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17FED27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0CD29361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7CF3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0962856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验收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4F7E8287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货物运抵现场后，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将对货物数量、质量、规格等进行检验。如发现货物和规格或者两者都与合同不符，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有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  <w:lang w:eastAsia="zh-CN"/>
              </w:rPr>
              <w:t>权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根据检验结果要求成交人立即更换或者提出退货并索赔要求。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2E53508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1AAD156B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4D87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6D2E3EB3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质量管理、企业信用要求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ECE850D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具有独立承担民事责任能力的法人。</w:t>
            </w:r>
          </w:p>
          <w:p w14:paraId="268FDE76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采购公告发布之日前三年内无行贿犯罪等重大违法记录。</w:t>
            </w:r>
          </w:p>
          <w:p w14:paraId="1CDEE572">
            <w:pPr>
              <w:widowControl/>
              <w:autoSpaceDE w:val="0"/>
              <w:autoSpaceDN w:val="0"/>
              <w:adjustRightInd w:val="0"/>
              <w:spacing w:before="120"/>
              <w:rPr>
                <w:rFonts w:hint="eastAsia" w:ascii="仿宋_GB2312" w:hAnsi="仿宋" w:eastAsia="仿宋_GB2312"/>
                <w:kern w:val="1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通过“信用中国”网站（www.creditchina.gov.cn）、中国政府采购网（www.ccgp.gov.cn）、信用山东(https://credit.shandong.gov.cn/</w:t>
            </w:r>
            <w:r>
              <w:fldChar w:fldCharType="begin"/>
            </w:r>
            <w:r>
              <w:instrText xml:space="preserve"> HYPERLINK "http://www.creditsd.gov.cn)" </w:instrText>
            </w:r>
            <w:r>
              <w:fldChar w:fldCharType="separate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)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fldChar w:fldCharType="end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及信用青岛（http://www.qingdao.gov.cn/credit/）查询，未被列入失信被执行人、重大税收违法案件当事人、政府采购严重违法失信行为记录等名单的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  <w:lang w:eastAsia="zh-CN"/>
              </w:rPr>
              <w:t>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289E7F30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66254D01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</w:tbl>
    <w:p w14:paraId="7A217729">
      <w:pPr>
        <w:spacing w:line="560" w:lineRule="exact"/>
        <w:ind w:firstLine="480" w:firstLineChars="200"/>
        <w:rPr>
          <w:rFonts w:ascii="仿宋_GB2312" w:hAnsi="仿宋" w:eastAsia="仿宋_GB2312" w:cs="仿宋"/>
          <w:sz w:val="24"/>
        </w:rPr>
      </w:pPr>
    </w:p>
    <w:p w14:paraId="5197F362">
      <w:pPr>
        <w:wordWrap w:val="0"/>
        <w:spacing w:line="560" w:lineRule="exact"/>
        <w:ind w:firstLine="4560" w:firstLineChars="1900"/>
        <w:jc w:val="right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供应商全称（公章）:             </w:t>
      </w:r>
    </w:p>
    <w:p w14:paraId="2D61A089">
      <w:pPr>
        <w:wordWrap w:val="0"/>
        <w:spacing w:line="560" w:lineRule="exact"/>
        <w:ind w:firstLine="5040" w:firstLineChars="2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24"/>
        </w:rPr>
        <w:t>日期：</w:t>
      </w:r>
      <w:r>
        <w:rPr>
          <w:rFonts w:hint="eastAsia" w:ascii="仿宋_GB2312" w:hAnsi="仿宋" w:eastAsia="仿宋_GB2312" w:cs="仿宋"/>
          <w:sz w:val="24"/>
          <w:lang w:val="en-US" w:eastAsia="zh-CN"/>
        </w:rPr>
        <w:t xml:space="preserve">  年  月  日</w:t>
      </w:r>
      <w:r>
        <w:rPr>
          <w:rFonts w:hint="eastAsia" w:ascii="仿宋_GB2312" w:hAnsi="仿宋" w:eastAsia="仿宋_GB2312" w:cs="仿宋"/>
          <w:sz w:val="24"/>
        </w:rPr>
        <w:t xml:space="preserve">            </w:t>
      </w:r>
    </w:p>
    <w:p w14:paraId="55C5962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